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906CA3" w14:textId="77777777" w:rsidR="007B07E0" w:rsidRPr="00C20F40" w:rsidRDefault="00FC1FEB">
      <w:pPr>
        <w:spacing w:before="240" w:after="240"/>
        <w:rPr>
          <w:b/>
          <w:bCs/>
          <w:sz w:val="28"/>
          <w:szCs w:val="28"/>
          <w:lang w:val="pl-PL"/>
        </w:rPr>
      </w:pPr>
      <w:r w:rsidRPr="00C20F40">
        <w:rPr>
          <w:b/>
          <w:bCs/>
          <w:sz w:val="28"/>
          <w:szCs w:val="28"/>
          <w:lang w:val="pl-PL"/>
        </w:rPr>
        <w:t xml:space="preserve">Kiedy prawda boli. Prospołeczni kłamcy oceniani jako bardziej moralni </w:t>
      </w:r>
    </w:p>
    <w:p w14:paraId="62A4AA8A" w14:textId="77777777" w:rsidR="007B07E0" w:rsidRPr="00C20F40" w:rsidRDefault="00FC1FEB">
      <w:pPr>
        <w:rPr>
          <w:b/>
          <w:bCs/>
          <w:sz w:val="20"/>
          <w:szCs w:val="20"/>
          <w:lang w:val="pl-PL"/>
        </w:rPr>
      </w:pPr>
      <w:r w:rsidRPr="00C20F40">
        <w:rPr>
          <w:b/>
          <w:bCs/>
          <w:sz w:val="20"/>
          <w:szCs w:val="20"/>
          <w:lang w:val="pl-PL"/>
        </w:rPr>
        <w:t xml:space="preserve"> </w:t>
      </w:r>
    </w:p>
    <w:p w14:paraId="622F5DC0" w14:textId="77777777" w:rsidR="007B07E0" w:rsidRPr="00C20F40" w:rsidRDefault="00FC1FEB">
      <w:pPr>
        <w:spacing w:before="240" w:after="240"/>
        <w:jc w:val="both"/>
        <w:rPr>
          <w:rFonts w:ascii="Arial" w:eastAsia="Arial" w:hAnsi="Arial" w:cs="Arial"/>
          <w:b/>
          <w:bCs/>
          <w:lang w:val="pl-PL"/>
        </w:rPr>
      </w:pPr>
      <w:r w:rsidRPr="00C20F40">
        <w:rPr>
          <w:rFonts w:ascii="Arial" w:eastAsia="Arial" w:hAnsi="Arial" w:cs="Arial"/>
          <w:b/>
          <w:bCs/>
          <w:lang w:val="pl-PL"/>
        </w:rPr>
        <w:t>Choć większość z nas ceni sobie szczerość, to za bardziej moralnych uznajemy tych, którzy koloryzują rzeczywistość, by kogoś nie zranić. Sami wolimy jednak usłyszeć w ocenie bezlitosną prawdę – wynika z badania przeprowadzonego przez psychologów z Uniwersytetu SWPS i Uniwersytetu Wrocławskiego.</w:t>
      </w:r>
    </w:p>
    <w:p w14:paraId="4E2C84FC" w14:textId="77777777" w:rsidR="007B07E0" w:rsidRPr="00C20F40" w:rsidRDefault="00FC1FEB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C20F40">
        <w:rPr>
          <w:sz w:val="20"/>
          <w:szCs w:val="20"/>
          <w:lang w:val="pl-PL"/>
        </w:rPr>
        <w:t>Szczerość to cecha powszechnie ceniona</w:t>
      </w:r>
      <w:r w:rsidRPr="00C20F40">
        <w:rPr>
          <w:sz w:val="20"/>
          <w:szCs w:val="20"/>
          <w:vertAlign w:val="superscript"/>
          <w:lang w:val="pl-PL"/>
        </w:rPr>
        <w:footnoteReference w:id="1"/>
      </w:r>
      <w:r w:rsidRPr="00C20F40">
        <w:rPr>
          <w:sz w:val="20"/>
          <w:szCs w:val="20"/>
          <w:lang w:val="pl-PL"/>
        </w:rPr>
        <w:t xml:space="preserve"> i zazwyczaj preferujemy osoby udzielające uczciwych opinii, uznając je za wiarygodne i przewidywalne. Co więcej, ludziom zachowującym się w sposób dający się przewidzieć skłonni jesteśmy przypisywać wyższy poziom moralności niż tym, którzy nie cechują się konsekwencją</w:t>
      </w:r>
      <w:r w:rsidRPr="00C20F40">
        <w:rPr>
          <w:sz w:val="20"/>
          <w:szCs w:val="20"/>
          <w:vertAlign w:val="superscript"/>
          <w:lang w:val="pl-PL"/>
        </w:rPr>
        <w:footnoteReference w:id="2"/>
      </w:r>
      <w:r w:rsidRPr="00C20F40">
        <w:rPr>
          <w:sz w:val="20"/>
          <w:szCs w:val="20"/>
          <w:lang w:val="pl-PL"/>
        </w:rPr>
        <w:t xml:space="preserve">. Jednak w niektórych sytuacjach elastyczność </w:t>
      </w:r>
      <w:proofErr w:type="spellStart"/>
      <w:r w:rsidRPr="00C20F40">
        <w:rPr>
          <w:sz w:val="20"/>
          <w:szCs w:val="20"/>
          <w:lang w:val="pl-PL"/>
        </w:rPr>
        <w:t>zachowań</w:t>
      </w:r>
      <w:proofErr w:type="spellEnd"/>
      <w:r w:rsidRPr="00C20F40">
        <w:rPr>
          <w:sz w:val="20"/>
          <w:szCs w:val="20"/>
          <w:lang w:val="pl-PL"/>
        </w:rPr>
        <w:t xml:space="preserve"> może być postrzegana jako bardziej moralna niż sztywne trzymanie się zasad. </w:t>
      </w:r>
    </w:p>
    <w:p w14:paraId="1CF6A984" w14:textId="248486DC" w:rsidR="007B07E0" w:rsidRPr="00C20F40" w:rsidRDefault="00FC1FEB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C20F40">
        <w:rPr>
          <w:sz w:val="20"/>
          <w:szCs w:val="20"/>
          <w:lang w:val="pl-PL"/>
        </w:rPr>
        <w:t xml:space="preserve">W nowym badaniu naukowcy – psycholożka społeczna dr hab. Katarzyna </w:t>
      </w:r>
      <w:proofErr w:type="spellStart"/>
      <w:r w:rsidRPr="00C20F40">
        <w:rPr>
          <w:sz w:val="20"/>
          <w:szCs w:val="20"/>
          <w:lang w:val="pl-PL"/>
        </w:rPr>
        <w:t>Cantarero</w:t>
      </w:r>
      <w:proofErr w:type="spellEnd"/>
      <w:r w:rsidRPr="00C20F40">
        <w:rPr>
          <w:sz w:val="20"/>
          <w:szCs w:val="20"/>
          <w:lang w:val="pl-PL"/>
        </w:rPr>
        <w:t xml:space="preserve">, prof. USWPS (Instytut Psychologii, Uniwersytet SWPS) i psycholog dr hab. Michał Białek, prof. </w:t>
      </w:r>
      <w:proofErr w:type="spellStart"/>
      <w:r w:rsidRPr="00C20F40">
        <w:rPr>
          <w:sz w:val="20"/>
          <w:szCs w:val="20"/>
          <w:lang w:val="pl-PL"/>
        </w:rPr>
        <w:t>UWr</w:t>
      </w:r>
      <w:proofErr w:type="spellEnd"/>
      <w:r w:rsidRPr="00C20F40">
        <w:rPr>
          <w:sz w:val="20"/>
          <w:szCs w:val="20"/>
          <w:lang w:val="pl-PL"/>
        </w:rPr>
        <w:t>. (Instytut Psychologii, Uniwersytet Wrocław</w:t>
      </w:r>
      <w:r w:rsidR="00D1571D">
        <w:rPr>
          <w:sz w:val="20"/>
          <w:szCs w:val="20"/>
          <w:lang w:val="pl-PL"/>
        </w:rPr>
        <w:t>ski</w:t>
      </w:r>
      <w:r w:rsidRPr="00C20F40">
        <w:rPr>
          <w:sz w:val="20"/>
          <w:szCs w:val="20"/>
          <w:lang w:val="pl-PL"/>
        </w:rPr>
        <w:t xml:space="preserve">) – postanowili sprawdzić, w jaki sposób oceniamy i wybieramy osoby udzielające informacji zwrotnej: od tych zawsze szczerych, po osoby, które posługują się kłamstwem, by nie zranić odbiorcy. Wyniki opublikowali w czasopiśmie „British </w:t>
      </w:r>
      <w:proofErr w:type="spellStart"/>
      <w:r w:rsidRPr="00C20F40">
        <w:rPr>
          <w:sz w:val="20"/>
          <w:szCs w:val="20"/>
          <w:lang w:val="pl-PL"/>
        </w:rPr>
        <w:t>Journal</w:t>
      </w:r>
      <w:proofErr w:type="spellEnd"/>
      <w:r w:rsidRPr="00C20F40">
        <w:rPr>
          <w:sz w:val="20"/>
          <w:szCs w:val="20"/>
          <w:lang w:val="pl-PL"/>
        </w:rPr>
        <w:t xml:space="preserve"> of </w:t>
      </w:r>
      <w:proofErr w:type="spellStart"/>
      <w:r w:rsidRPr="00C20F40">
        <w:rPr>
          <w:sz w:val="20"/>
          <w:szCs w:val="20"/>
          <w:lang w:val="pl-PL"/>
        </w:rPr>
        <w:t>Social</w:t>
      </w:r>
      <w:proofErr w:type="spellEnd"/>
      <w:r w:rsidRPr="00C20F40">
        <w:rPr>
          <w:sz w:val="20"/>
          <w:szCs w:val="20"/>
          <w:lang w:val="pl-PL"/>
        </w:rPr>
        <w:t xml:space="preserve"> </w:t>
      </w:r>
      <w:proofErr w:type="spellStart"/>
      <w:r w:rsidRPr="00C20F40">
        <w:rPr>
          <w:sz w:val="20"/>
          <w:szCs w:val="20"/>
          <w:lang w:val="pl-PL"/>
        </w:rPr>
        <w:t>Psychology</w:t>
      </w:r>
      <w:proofErr w:type="spellEnd"/>
      <w:r w:rsidRPr="00C20F40">
        <w:rPr>
          <w:sz w:val="20"/>
          <w:szCs w:val="20"/>
          <w:lang w:val="pl-PL"/>
        </w:rPr>
        <w:t>”.</w:t>
      </w:r>
    </w:p>
    <w:p w14:paraId="3DD1EAFF" w14:textId="77777777" w:rsidR="007B07E0" w:rsidRPr="00C20F40" w:rsidRDefault="00FC1FEB">
      <w:pPr>
        <w:spacing w:before="240" w:line="300" w:lineRule="auto"/>
        <w:jc w:val="both"/>
        <w:rPr>
          <w:sz w:val="20"/>
          <w:szCs w:val="20"/>
          <w:lang w:val="pl-PL"/>
        </w:rPr>
      </w:pPr>
      <w:r w:rsidRPr="00C20F40">
        <w:rPr>
          <w:b/>
          <w:bCs/>
          <w:sz w:val="20"/>
          <w:szCs w:val="20"/>
          <w:lang w:val="pl-PL"/>
        </w:rPr>
        <w:t>Prawda czy prospołeczne kłamstwo?</w:t>
      </w:r>
    </w:p>
    <w:p w14:paraId="3930FB66" w14:textId="77777777" w:rsidR="007B07E0" w:rsidRPr="00C20F40" w:rsidRDefault="00FC1FEB">
      <w:pPr>
        <w:spacing w:line="300" w:lineRule="auto"/>
        <w:jc w:val="both"/>
        <w:rPr>
          <w:sz w:val="20"/>
          <w:szCs w:val="20"/>
          <w:lang w:val="pl-PL"/>
        </w:rPr>
      </w:pPr>
      <w:r w:rsidRPr="00C20F40">
        <w:rPr>
          <w:sz w:val="20"/>
          <w:szCs w:val="20"/>
          <w:lang w:val="pl-PL"/>
        </w:rPr>
        <w:t xml:space="preserve">W badaniach wzięło udział prawie 900 uczestników ze Stanów Zjednoczonych, zrekrutowanych przez platformę badawczą </w:t>
      </w:r>
      <w:proofErr w:type="spellStart"/>
      <w:r w:rsidRPr="00C20F40">
        <w:rPr>
          <w:sz w:val="20"/>
          <w:szCs w:val="20"/>
          <w:lang w:val="pl-PL"/>
        </w:rPr>
        <w:t>Prolific</w:t>
      </w:r>
      <w:proofErr w:type="spellEnd"/>
      <w:r w:rsidRPr="00C20F40">
        <w:rPr>
          <w:sz w:val="20"/>
          <w:szCs w:val="20"/>
          <w:lang w:val="pl-PL"/>
        </w:rPr>
        <w:t xml:space="preserve">. Mieli oni zapoznać się z historią czterech osób, oceniających dwie osoby przygotowujące potrawy, którym akurat nie udało się danie. Jedna z gotujących osób została opisana jako dobrze znosząca </w:t>
      </w:r>
      <w:r w:rsidRPr="00C20F40">
        <w:rPr>
          <w:sz w:val="20"/>
          <w:szCs w:val="20"/>
          <w:lang w:val="pl-PL"/>
        </w:rPr>
        <w:lastRenderedPageBreak/>
        <w:t xml:space="preserve">krytykę, a druga miała radzić sobie z nią gorzej. </w:t>
      </w:r>
    </w:p>
    <w:p w14:paraId="27294BD4" w14:textId="77777777" w:rsidR="007B07E0" w:rsidRPr="00C20F40" w:rsidRDefault="00FC1FEB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C20F40">
        <w:rPr>
          <w:sz w:val="20"/>
          <w:szCs w:val="20"/>
          <w:lang w:val="pl-PL"/>
        </w:rPr>
        <w:t>W ramach pierwszego badania sprawdzano, jak oceniana jest moralność, przewidywalność i zaufanie do osób dających feedback kucharzom/kucharkom. Część z nich mówiła prawdę, a część kłamała, przy czym w zależności od wariantu niektórzy dostosowywali przekaz do wrażliwości szefowych kuchni, a inni nie. Drugie badanie dotyczyło preferencji związanych z typami osób udzielających feedbacku, gdy uczestnicy dokonywali wyboru dla siebie i dla innych (w tym osób wrażliwych i gorzej radzących sobie z krytyką).</w:t>
      </w:r>
    </w:p>
    <w:p w14:paraId="764EBA56" w14:textId="77777777" w:rsidR="007B07E0" w:rsidRPr="00C20F40" w:rsidRDefault="00FC1FEB">
      <w:pPr>
        <w:spacing w:before="240" w:line="300" w:lineRule="auto"/>
        <w:jc w:val="both"/>
        <w:rPr>
          <w:sz w:val="20"/>
          <w:szCs w:val="20"/>
          <w:lang w:val="pl-PL"/>
        </w:rPr>
      </w:pPr>
      <w:r w:rsidRPr="00C20F40">
        <w:rPr>
          <w:b/>
          <w:bCs/>
          <w:sz w:val="20"/>
          <w:szCs w:val="20"/>
          <w:lang w:val="pl-PL"/>
        </w:rPr>
        <w:t>Wrażliwi, a więc bardziej moralni</w:t>
      </w:r>
    </w:p>
    <w:p w14:paraId="454F6988" w14:textId="290D1FA6" w:rsidR="007B07E0" w:rsidRPr="00C20F40" w:rsidRDefault="00FC1FEB">
      <w:pPr>
        <w:spacing w:after="240" w:line="300" w:lineRule="auto"/>
        <w:jc w:val="both"/>
        <w:rPr>
          <w:sz w:val="20"/>
          <w:szCs w:val="20"/>
          <w:lang w:val="pl-PL"/>
        </w:rPr>
      </w:pPr>
      <w:r w:rsidRPr="00C20F40">
        <w:rPr>
          <w:sz w:val="20"/>
          <w:szCs w:val="20"/>
          <w:lang w:val="pl-PL"/>
        </w:rPr>
        <w:t>Okazało się, że osoby uciekające się do prospołecznych kłamstw – takich, których intencją jest oszczędzenie komuś przykrości – były oceniane jako bardziej moralne niż ludzie mówiący prawdę prosto w oczy. „Prospołecznych kłamców”, udzielających nadmiernie optymistycznej informacji zwrotnej, postrzegano pozytywnie prawdopodobnie dlatego, że przejawia</w:t>
      </w:r>
      <w:r w:rsidR="00D1571D">
        <w:rPr>
          <w:sz w:val="20"/>
          <w:szCs w:val="20"/>
          <w:lang w:val="pl-PL"/>
        </w:rPr>
        <w:t>li</w:t>
      </w:r>
      <w:r w:rsidRPr="00C20F40">
        <w:rPr>
          <w:sz w:val="20"/>
          <w:szCs w:val="20"/>
          <w:lang w:val="pl-PL"/>
        </w:rPr>
        <w:t xml:space="preserve"> wrażliwość na potrzeby drugiej strony. </w:t>
      </w:r>
    </w:p>
    <w:p w14:paraId="12905CA7" w14:textId="77777777" w:rsidR="007B07E0" w:rsidRPr="00C20F40" w:rsidRDefault="00FC1FEB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C20F40">
        <w:rPr>
          <w:sz w:val="20"/>
          <w:szCs w:val="20"/>
          <w:lang w:val="pl-PL"/>
        </w:rPr>
        <w:t xml:space="preserve">Podobnie traktowano osoby, określane jako „wrażliwe społecznie”, które potrafią dostosować przekaz do odbiorcy. Oznacza to, że mówią one prawdę tym, którzy są w stanie się z nią zmierzyć, natomiast łagodzą przekaz (nawet kłamiąc) w stosunku do tych osób, które krytyka mogłaby zranić. Taka niekonsekwencja nie obniżała oceny moralnej tych osób, uczestnicy badania akceptowali elastyczne podejście do prawdy, zakładając, że służy ono innym. </w:t>
      </w:r>
    </w:p>
    <w:p w14:paraId="473F28C4" w14:textId="77777777" w:rsidR="007B07E0" w:rsidRPr="00C20F40" w:rsidRDefault="00FC1FEB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C20F40">
        <w:rPr>
          <w:sz w:val="20"/>
          <w:szCs w:val="20"/>
          <w:lang w:val="pl-PL"/>
        </w:rPr>
        <w:t xml:space="preserve">– Co ciekawe, oceniający wrażliwy społecznie nie został uznany za mniej moralnego niż uczciwy, co sugeruje, że taka postawa jest tolerowana, gdy jest zgodna z potrzebami społecznymi. Wskazuje to, że ludzie strategicznie dostosowują swoje preferencje dotyczące uczciwości, bazując na sygnałach społecznych – wyjaśnia prof. Katarzyna </w:t>
      </w:r>
      <w:proofErr w:type="spellStart"/>
      <w:r w:rsidRPr="00C20F40">
        <w:rPr>
          <w:sz w:val="20"/>
          <w:szCs w:val="20"/>
          <w:lang w:val="pl-PL"/>
        </w:rPr>
        <w:t>Cantarero</w:t>
      </w:r>
      <w:proofErr w:type="spellEnd"/>
      <w:r w:rsidRPr="00C20F40">
        <w:rPr>
          <w:sz w:val="20"/>
          <w:szCs w:val="20"/>
          <w:lang w:val="pl-PL"/>
        </w:rPr>
        <w:t xml:space="preserve"> z Instytutu Psychologii USWPS, współautorka badania. </w:t>
      </w:r>
    </w:p>
    <w:p w14:paraId="5D0BC696" w14:textId="77777777" w:rsidR="007B07E0" w:rsidRPr="00C20F40" w:rsidRDefault="00FC1FEB">
      <w:pPr>
        <w:spacing w:before="240" w:line="300" w:lineRule="auto"/>
        <w:jc w:val="both"/>
        <w:rPr>
          <w:sz w:val="20"/>
          <w:szCs w:val="20"/>
          <w:lang w:val="pl-PL"/>
        </w:rPr>
      </w:pPr>
      <w:r w:rsidRPr="00C20F40">
        <w:rPr>
          <w:b/>
          <w:bCs/>
          <w:sz w:val="20"/>
          <w:szCs w:val="20"/>
          <w:lang w:val="pl-PL"/>
        </w:rPr>
        <w:t>Wybieram szczerość, ale innych chronię</w:t>
      </w:r>
    </w:p>
    <w:p w14:paraId="27CE4B1A" w14:textId="77777777" w:rsidR="007B07E0" w:rsidRPr="00C20F40" w:rsidRDefault="00FC1FEB">
      <w:pPr>
        <w:spacing w:after="240" w:line="300" w:lineRule="auto"/>
        <w:jc w:val="both"/>
        <w:rPr>
          <w:sz w:val="20"/>
          <w:szCs w:val="20"/>
          <w:lang w:val="pl-PL"/>
        </w:rPr>
      </w:pPr>
      <w:r w:rsidRPr="00C20F40">
        <w:rPr>
          <w:sz w:val="20"/>
          <w:szCs w:val="20"/>
          <w:lang w:val="pl-PL"/>
        </w:rPr>
        <w:t xml:space="preserve">Mimo tego, że jesteśmy skłonni przyznawać wyższe oceny moralne osobom mijającym się z prawdą, to z badania wynika, że większość z nas nie chce dostawać takiego feedbacku. Bo gdy przychodzi do wyboru osoby, która ma ocenić nasze </w:t>
      </w:r>
      <w:r w:rsidRPr="00C20F40">
        <w:rPr>
          <w:sz w:val="20"/>
          <w:szCs w:val="20"/>
          <w:lang w:val="pl-PL"/>
        </w:rPr>
        <w:lastRenderedPageBreak/>
        <w:t xml:space="preserve">własne dokonania, zdecydowanie wolimy kogoś, kto będzie z nami szczery. W badaniu wskazało tak 70 proc. uczestników. Podobnie jest w przypadku, kiedy mamy wybrać doradcę dla kogoś innego. </w:t>
      </w:r>
    </w:p>
    <w:p w14:paraId="3023D96C" w14:textId="77777777" w:rsidR="007B07E0" w:rsidRPr="00C20F40" w:rsidRDefault="00FC1FEB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C20F40">
        <w:rPr>
          <w:sz w:val="20"/>
          <w:szCs w:val="20"/>
          <w:lang w:val="pl-PL"/>
        </w:rPr>
        <w:t>Sytuacja zmienia się jednak, gdy chodzi o osobę, o której wiemy, że źle znosi krytykę. Dla osób emocjonalnie wrażliwych wolimy wybrać kogoś, kto je pocieszy i utrzyma ich motywację, niż dla osób, które nie są tak podatne na krytykę.</w:t>
      </w:r>
    </w:p>
    <w:p w14:paraId="6A58C7D1" w14:textId="77777777" w:rsidR="007B07E0" w:rsidRPr="00C20F40" w:rsidRDefault="00FC1FEB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C20F40">
        <w:rPr>
          <w:sz w:val="20"/>
          <w:szCs w:val="20"/>
          <w:lang w:val="pl-PL"/>
        </w:rPr>
        <w:t xml:space="preserve">– Badanie wykazało, że – w przypadku, gdy uczestnicy wybierali feedback dla siebie – chętniej brane pod uwagę były osoby udzielające szczerej informacji zwrotnej, w przeciwieństwie do tych, które posługiwały się prospołecznym kłamstwem. Natomiast w odniesieniu do osób, które źle znoszą krytykę, dla tych osób częściej preferowano informację zwrotną dostosowaną do poziomu wrażliwości tej osoby w porównaniu do osób, które nie przejawiają nadmiernej wrażliwości na krytykę – mówi prof. </w:t>
      </w:r>
      <w:proofErr w:type="spellStart"/>
      <w:r w:rsidRPr="00C20F40">
        <w:rPr>
          <w:sz w:val="20"/>
          <w:szCs w:val="20"/>
          <w:lang w:val="pl-PL"/>
        </w:rPr>
        <w:t>Cantarero</w:t>
      </w:r>
      <w:proofErr w:type="spellEnd"/>
      <w:r w:rsidRPr="00C20F40">
        <w:rPr>
          <w:sz w:val="20"/>
          <w:szCs w:val="20"/>
          <w:lang w:val="pl-PL"/>
        </w:rPr>
        <w:t xml:space="preserve">. </w:t>
      </w:r>
    </w:p>
    <w:p w14:paraId="6AF696FB" w14:textId="77777777" w:rsidR="007B07E0" w:rsidRPr="00C20F40" w:rsidRDefault="00FC1FEB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C20F40">
        <w:rPr>
          <w:sz w:val="20"/>
          <w:szCs w:val="20"/>
          <w:lang w:val="pl-PL"/>
        </w:rPr>
        <w:t xml:space="preserve">Jak podkreślają autorzy, wyniki badań sugerują, że często sądzimy, że w relacjach międzyludzkich nie istnieje jedna, idealna strategia udzielania informacji zwrotnej. Ludzie cenią sobie zdolność do rozpoznania emocjonalnych potrzeb drugiego człowieka i dostosowania do nich komunikatu w zależności od kontekstu społecznego. </w:t>
      </w:r>
    </w:p>
    <w:p w14:paraId="110B1745" w14:textId="77777777" w:rsidR="007B07E0" w:rsidRPr="00D1571D" w:rsidRDefault="00FC1FEB">
      <w:pPr>
        <w:spacing w:before="240" w:after="240" w:line="300" w:lineRule="auto"/>
        <w:jc w:val="both"/>
        <w:rPr>
          <w:sz w:val="20"/>
          <w:szCs w:val="20"/>
          <w:lang w:val="en-GB"/>
        </w:rPr>
      </w:pPr>
      <w:proofErr w:type="spellStart"/>
      <w:r w:rsidRPr="00D1571D">
        <w:rPr>
          <w:sz w:val="20"/>
          <w:szCs w:val="20"/>
          <w:lang w:val="en-GB"/>
        </w:rPr>
        <w:t>Artykuł</w:t>
      </w:r>
      <w:proofErr w:type="spellEnd"/>
      <w:r w:rsidRPr="00D1571D">
        <w:rPr>
          <w:sz w:val="20"/>
          <w:szCs w:val="20"/>
          <w:lang w:val="en-GB"/>
        </w:rPr>
        <w:t xml:space="preserve"> „</w:t>
      </w:r>
      <w:hyperlink r:id="rId7">
        <w:r w:rsidRPr="00D1571D">
          <w:rPr>
            <w:color w:val="1155CC"/>
            <w:sz w:val="20"/>
            <w:szCs w:val="20"/>
            <w:u w:val="single"/>
            <w:lang w:val="en-GB"/>
          </w:rPr>
          <w:t>Selective (dis)honesty: Choosing overly positive feedback only when the truth hurts</w:t>
        </w:r>
      </w:hyperlink>
      <w:r w:rsidRPr="00D1571D">
        <w:rPr>
          <w:sz w:val="20"/>
          <w:szCs w:val="20"/>
          <w:lang w:val="en-GB"/>
        </w:rPr>
        <w:t xml:space="preserve">” </w:t>
      </w:r>
      <w:proofErr w:type="spellStart"/>
      <w:r w:rsidRPr="00D1571D">
        <w:rPr>
          <w:sz w:val="20"/>
          <w:szCs w:val="20"/>
          <w:lang w:val="en-GB"/>
        </w:rPr>
        <w:t>ukazał</w:t>
      </w:r>
      <w:proofErr w:type="spellEnd"/>
      <w:r w:rsidRPr="00D1571D">
        <w:rPr>
          <w:sz w:val="20"/>
          <w:szCs w:val="20"/>
          <w:lang w:val="en-GB"/>
        </w:rPr>
        <w:t xml:space="preserve"> </w:t>
      </w:r>
      <w:proofErr w:type="spellStart"/>
      <w:r w:rsidRPr="00D1571D">
        <w:rPr>
          <w:sz w:val="20"/>
          <w:szCs w:val="20"/>
          <w:lang w:val="en-GB"/>
        </w:rPr>
        <w:t>się</w:t>
      </w:r>
      <w:proofErr w:type="spellEnd"/>
      <w:r w:rsidRPr="00D1571D">
        <w:rPr>
          <w:sz w:val="20"/>
          <w:szCs w:val="20"/>
          <w:lang w:val="en-GB"/>
        </w:rPr>
        <w:t xml:space="preserve"> w </w:t>
      </w:r>
      <w:proofErr w:type="spellStart"/>
      <w:r w:rsidRPr="00D1571D">
        <w:rPr>
          <w:sz w:val="20"/>
          <w:szCs w:val="20"/>
          <w:lang w:val="en-GB"/>
        </w:rPr>
        <w:t>czasopiśmie</w:t>
      </w:r>
      <w:proofErr w:type="spellEnd"/>
      <w:r w:rsidRPr="00D1571D">
        <w:rPr>
          <w:sz w:val="20"/>
          <w:szCs w:val="20"/>
          <w:lang w:val="en-GB"/>
        </w:rPr>
        <w:t xml:space="preserve"> „British Journal of Social Psychology”.</w:t>
      </w:r>
    </w:p>
    <w:p w14:paraId="71885DBF" w14:textId="77777777" w:rsidR="007B07E0" w:rsidRPr="00C20F40" w:rsidRDefault="00FC1FEB">
      <w:pPr>
        <w:widowControl/>
        <w:spacing w:line="276" w:lineRule="auto"/>
        <w:jc w:val="both"/>
        <w:rPr>
          <w:rFonts w:ascii="Arial" w:eastAsia="Arial" w:hAnsi="Arial" w:cs="Arial"/>
          <w:b/>
          <w:bCs/>
          <w:lang w:val="pl-PL"/>
        </w:rPr>
      </w:pPr>
      <w:r w:rsidRPr="00C20F40">
        <w:rPr>
          <w:rFonts w:ascii="Arial" w:eastAsia="Arial" w:hAnsi="Arial" w:cs="Arial"/>
          <w:b/>
          <w:bCs/>
          <w:lang w:val="pl-PL"/>
        </w:rPr>
        <w:t>****</w:t>
      </w:r>
    </w:p>
    <w:p w14:paraId="1781649F" w14:textId="77777777" w:rsidR="007B07E0" w:rsidRPr="00C20F40" w:rsidRDefault="007B07E0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59FDE188" w14:textId="77777777" w:rsidR="007B07E0" w:rsidRPr="00C20F40" w:rsidRDefault="00FC1FEB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C20F40">
        <w:rPr>
          <w:b/>
          <w:bCs/>
          <w:sz w:val="20"/>
          <w:szCs w:val="20"/>
          <w:lang w:val="pl-PL"/>
        </w:rPr>
        <w:t>Uniwersytet SWPS</w:t>
      </w:r>
      <w:r w:rsidRPr="00C20F40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badaniami naukowymi prowadzonymi na najwyższym poziomie. Uczelnia kształci blisko 18 tys. studentek i studentów – w tym ponad tysiąc z zagranicy oraz ponad 4,5 tys. słuchaczek i słuchaczy studiów podyplomowych na ponad 50 kierunkach studiów stacjonarnych i ponad 40 niestacjonarnych i ok. 240 kierunkach studiów podyplomowych. Uniwersytet oferuje programy studiów z psychologii, prawa, zarządzania, dziennikarstwa, filologii, kulturoznawstwa, nowych technologii oraz grafiki i wzornictwa, a także edukację w postaci szkoleń i krótkich kursów akademickich. Uczelnia dba o wysoką wartość </w:t>
      </w:r>
      <w:r w:rsidRPr="00C20F40">
        <w:rPr>
          <w:sz w:val="20"/>
          <w:szCs w:val="20"/>
          <w:lang w:val="pl-PL"/>
        </w:rPr>
        <w:lastRenderedPageBreak/>
        <w:t>akademicką naszych programów oraz ich dostosowanie do wymagań zmieniającego się rynku pracy. Kampusy Uniwersytetu SWPS znajdują się w sześciu miastach: Warszawie (siedziba), Wrocławiu, Sopocie, Poznaniu, Katowicach i w Krakowie.</w:t>
      </w:r>
    </w:p>
    <w:p w14:paraId="7BC1F9F7" w14:textId="77777777" w:rsidR="007B07E0" w:rsidRPr="00C20F40" w:rsidRDefault="007B07E0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5B9F7795" w14:textId="77777777" w:rsidR="007B07E0" w:rsidRPr="00C20F40" w:rsidRDefault="00FC1FEB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C20F40">
        <w:rPr>
          <w:sz w:val="20"/>
          <w:szCs w:val="20"/>
          <w:lang w:val="pl-PL"/>
        </w:rPr>
        <w:t>Uczelnia posiada uprawnienia do nadawania stopnia doktora oraz doktora habilitowanego w siedmiu dyscyplinach: psychologia, nauki o kulturze i religii, literaturoznawstwo, nauki prawne, nauki socjologiczne, nauki o polityce i administracji, sztuki plastyczne i konserwacja dzieł sztuki. Na Uniwersytecie SWPS funkcjonuje pięć instytutów naukowych, które zajmują się organizacją i koordynacją działalności naukowej pracowników badawczych i badawczo-dydaktycznych uczelni w poszczególnych dyscyplinach: Instytut Psychologii, Instytut Nauk Humanistycznych, Instytut Nauk Społecznych, Instytut Prawa oraz Instytut Projektowania. W uczelni działa blisko 30 centrów badawczych oraz ponad 175 kół naukowych.</w:t>
      </w:r>
    </w:p>
    <w:p w14:paraId="0FBB7CE7" w14:textId="77777777" w:rsidR="007B07E0" w:rsidRPr="00C20F40" w:rsidRDefault="007B07E0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26B3615E" w14:textId="77777777" w:rsidR="007B07E0" w:rsidRPr="00C20F40" w:rsidRDefault="00FC1FEB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C20F40">
        <w:rPr>
          <w:sz w:val="20"/>
          <w:szCs w:val="20"/>
          <w:lang w:val="pl-PL"/>
        </w:rPr>
        <w:t xml:space="preserve">Uniwersytet SWPS należy do sojuszu </w:t>
      </w:r>
      <w:proofErr w:type="spellStart"/>
      <w:r w:rsidRPr="00C20F40">
        <w:rPr>
          <w:sz w:val="20"/>
          <w:szCs w:val="20"/>
          <w:lang w:val="pl-PL"/>
        </w:rPr>
        <w:t>European</w:t>
      </w:r>
      <w:proofErr w:type="spellEnd"/>
      <w:r w:rsidRPr="00C20F40">
        <w:rPr>
          <w:sz w:val="20"/>
          <w:szCs w:val="20"/>
          <w:lang w:val="pl-PL"/>
        </w:rPr>
        <w:t xml:space="preserve"> Reform University Alliance (ERUA). Jest to sojusz uczelni zawarty w ramach Inicjatywy Uniwersytetów Europejskich, powołanej i finansowanej przez Komisję Europejską.</w:t>
      </w:r>
    </w:p>
    <w:p w14:paraId="4AAB1682" w14:textId="77777777" w:rsidR="007B07E0" w:rsidRPr="00C20F40" w:rsidRDefault="007B07E0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sectPr w:rsidR="007B07E0" w:rsidRPr="00C20F40">
      <w:headerReference w:type="even" r:id="rId8"/>
      <w:headerReference w:type="default" r:id="rId9"/>
      <w:footerReference w:type="default" r:id="rId10"/>
      <w:headerReference w:type="first" r:id="rId11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00DBF7" w14:textId="77777777" w:rsidR="003A2024" w:rsidRDefault="003A2024">
      <w:r>
        <w:separator/>
      </w:r>
    </w:p>
  </w:endnote>
  <w:endnote w:type="continuationSeparator" w:id="0">
    <w:p w14:paraId="513B9ED2" w14:textId="77777777" w:rsidR="003A2024" w:rsidRDefault="003A20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919CE142-BF43-437F-A730-C8EBE4379425}"/>
    <w:embedBold r:id="rId2" w:fontKey="{E2B33153-A3C7-4B2D-AB04-67F3355411C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F9A998C0-3536-4071-9BA7-2C83E6794D1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6698665E-92AD-440D-A8FF-D80AE4B03494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C36469E7-4496-4183-85FE-8815262E2CB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E2125AAD-F824-4C30-A65B-F9C5041198F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B65025" w14:textId="77777777" w:rsidR="007B07E0" w:rsidRDefault="00FC1FE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704" behindDoc="1" locked="0" layoutInCell="1" hidden="0" allowOverlap="1" wp14:anchorId="3A602593" wp14:editId="158E552B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5" name="Prostokąt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6616680" w14:textId="77777777" w:rsidR="007B07E0" w:rsidRDefault="00FC1FEB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61A5E688" w14:textId="77777777" w:rsidR="007B07E0" w:rsidRDefault="00FC1FEB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b="0" l="0" r="0" t="0"/>
              <wp:wrapNone/>
              <wp:docPr id="15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80635" cy="43675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728" behindDoc="1" locked="0" layoutInCell="1" hidden="0" allowOverlap="1" wp14:anchorId="10660128" wp14:editId="3447074A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16" name="Prostokąt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A276BF1" w14:textId="77777777" w:rsidR="007B07E0" w:rsidRDefault="00FC1FEB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b="0" l="0" r="0" t="0"/>
              <wp:wrapNone/>
              <wp:docPr id="16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68475" cy="1861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265634" w14:textId="77777777" w:rsidR="003A2024" w:rsidRDefault="003A2024">
      <w:r>
        <w:separator/>
      </w:r>
    </w:p>
  </w:footnote>
  <w:footnote w:type="continuationSeparator" w:id="0">
    <w:p w14:paraId="676A1F2F" w14:textId="77777777" w:rsidR="003A2024" w:rsidRDefault="003A2024">
      <w:r>
        <w:continuationSeparator/>
      </w:r>
    </w:p>
  </w:footnote>
  <w:footnote w:id="1">
    <w:p w14:paraId="35DD34B5" w14:textId="77777777" w:rsidR="007B07E0" w:rsidRDefault="00FC1FEB">
      <w:pPr>
        <w:rPr>
          <w:sz w:val="20"/>
          <w:szCs w:val="20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Schwartz, S. H. (1994). Are there universal aspects in the structure and contents of human values? Journal of Social Issues, 50(4), 19–45. https://doi.org/10.1111/j.1540-4560.1994.tb01196.x</w:t>
      </w:r>
    </w:p>
  </w:footnote>
  <w:footnote w:id="2">
    <w:p w14:paraId="023BD1C2" w14:textId="77777777" w:rsidR="007B07E0" w:rsidRDefault="00FC1FEB">
      <w:pPr>
        <w:rPr>
          <w:sz w:val="20"/>
          <w:szCs w:val="20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Turpin, M. H., Walker, A. C., </w:t>
      </w:r>
      <w:proofErr w:type="spellStart"/>
      <w:r>
        <w:rPr>
          <w:sz w:val="16"/>
          <w:szCs w:val="16"/>
        </w:rPr>
        <w:t>Fugelsang</w:t>
      </w:r>
      <w:proofErr w:type="spellEnd"/>
      <w:r>
        <w:rPr>
          <w:sz w:val="16"/>
          <w:szCs w:val="16"/>
        </w:rPr>
        <w:t xml:space="preserve">, J. A., </w:t>
      </w:r>
      <w:proofErr w:type="spellStart"/>
      <w:r>
        <w:rPr>
          <w:sz w:val="16"/>
          <w:szCs w:val="16"/>
        </w:rPr>
        <w:t>Sorokowski</w:t>
      </w:r>
      <w:proofErr w:type="spellEnd"/>
      <w:r>
        <w:rPr>
          <w:sz w:val="16"/>
          <w:szCs w:val="16"/>
        </w:rPr>
        <w:t xml:space="preserve">, P., Grossmann, I., &amp; </w:t>
      </w:r>
      <w:proofErr w:type="spellStart"/>
      <w:r>
        <w:rPr>
          <w:sz w:val="16"/>
          <w:szCs w:val="16"/>
        </w:rPr>
        <w:t>Białek</w:t>
      </w:r>
      <w:proofErr w:type="spellEnd"/>
      <w:r>
        <w:rPr>
          <w:sz w:val="16"/>
          <w:szCs w:val="16"/>
        </w:rPr>
        <w:t xml:space="preserve">, M. (2021). The search for predictable moral partners: Predictability and moral (character) preferences. Journal of Experimental Social </w:t>
      </w:r>
      <w:proofErr w:type="spellStart"/>
      <w:r>
        <w:rPr>
          <w:sz w:val="16"/>
          <w:szCs w:val="16"/>
        </w:rPr>
        <w:t>Psycholog</w:t>
      </w:r>
      <w:proofErr w:type="spellEnd"/>
      <w:r>
        <w:rPr>
          <w:sz w:val="16"/>
          <w:szCs w:val="16"/>
        </w:rPr>
        <w:t xml:space="preserve"> y, 97, 104196. https:// doi.org/10.1016/j.jesp.2021.104196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74E597" w14:textId="77777777" w:rsidR="007B07E0" w:rsidRDefault="003A202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4648292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02FFBD" w14:textId="77777777" w:rsidR="007B07E0" w:rsidRDefault="00FC1FE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w:drawing>
        <wp:anchor distT="0" distB="0" distL="0" distR="0" simplePos="0" relativeHeight="251655680" behindDoc="1" locked="0" layoutInCell="1" hidden="0" allowOverlap="1" wp14:anchorId="595F6434" wp14:editId="3B941115">
          <wp:simplePos x="0" y="0"/>
          <wp:positionH relativeFrom="page">
            <wp:posOffset>3338</wp:posOffset>
          </wp:positionH>
          <wp:positionV relativeFrom="page">
            <wp:posOffset>721612</wp:posOffset>
          </wp:positionV>
          <wp:extent cx="7556760" cy="10692000"/>
          <wp:effectExtent l="0" t="0" r="0" b="0"/>
          <wp:wrapNone/>
          <wp:docPr id="1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841BAE" w14:textId="77777777" w:rsidR="007B07E0" w:rsidRDefault="003A202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23EF7EB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07E0"/>
    <w:rsid w:val="003A2024"/>
    <w:rsid w:val="007B07E0"/>
    <w:rsid w:val="00C20F40"/>
    <w:rsid w:val="00D1571D"/>
    <w:rsid w:val="00FC1F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58AE0432"/>
  <w15:docId w15:val="{BE96C98A-A3A1-47F6-A482-F3DEC55E15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bpspsychub.onlinelibrary.wiley.com/doi/10.1111/bjso.70020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Se4y68mobUmhBYlUaUV0mDC0ow==">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1013</Words>
  <Characters>6081</Characters>
  <Application>Microsoft Office Word</Application>
  <DocSecurity>0</DocSecurity>
  <Lines>50</Lines>
  <Paragraphs>14</Paragraphs>
  <ScaleCrop>false</ScaleCrop>
  <Company>Uniwersytet SWPS</Company>
  <LinksUpToDate>false</LinksUpToDate>
  <CharactersWithSpaces>7080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Marta Danowska-Kisiel</cp:lastModifiedBy>
  <cp:revision>3</cp:revision>
  <dcterms:created xsi:type="dcterms:W3CDTF">2026-01-29T10:11:00Z</dcterms:created>
  <dcterms:modified xsi:type="dcterms:W3CDTF">2026-01-29T11:13:00Z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